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1D" w:rsidRPr="00293439" w:rsidRDefault="0078741D" w:rsidP="0078741D">
      <w:pPr>
        <w:spacing w:line="360" w:lineRule="exact"/>
        <w:jc w:val="center"/>
        <w:rPr>
          <w:b/>
          <w:sz w:val="28"/>
          <w:szCs w:val="28"/>
        </w:rPr>
      </w:pPr>
      <w:r w:rsidRPr="00293439">
        <w:rPr>
          <w:rFonts w:hint="eastAsia"/>
          <w:b/>
          <w:sz w:val="28"/>
          <w:szCs w:val="28"/>
        </w:rPr>
        <w:t>一般社団法人富山県社会福祉士会権利擁護センターぱあとなあ富山</w:t>
      </w:r>
    </w:p>
    <w:p w:rsidR="0078741D" w:rsidRPr="00D35691" w:rsidRDefault="0078741D" w:rsidP="0078741D">
      <w:pPr>
        <w:spacing w:line="36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業務監査委員会運営規程</w:t>
      </w:r>
    </w:p>
    <w:p w:rsidR="0078741D" w:rsidRDefault="0078741D" w:rsidP="0078741D">
      <w:pPr>
        <w:spacing w:line="320" w:lineRule="exact"/>
        <w:jc w:val="center"/>
        <w:rPr>
          <w:sz w:val="28"/>
          <w:szCs w:val="28"/>
        </w:rPr>
      </w:pPr>
    </w:p>
    <w:p w:rsidR="0078741D" w:rsidRPr="002169D3" w:rsidRDefault="0078741D" w:rsidP="0078741D">
      <w:pPr>
        <w:spacing w:line="320" w:lineRule="exact"/>
        <w:jc w:val="left"/>
        <w:rPr>
          <w:sz w:val="24"/>
          <w:szCs w:val="24"/>
        </w:rPr>
      </w:pPr>
      <w:r w:rsidRPr="002169D3">
        <w:rPr>
          <w:rFonts w:hint="eastAsia"/>
          <w:sz w:val="24"/>
          <w:szCs w:val="24"/>
        </w:rPr>
        <w:t>（目的）</w:t>
      </w:r>
      <w:bookmarkStart w:id="0" w:name="_GoBack"/>
      <w:bookmarkEnd w:id="0"/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2169D3">
        <w:rPr>
          <w:rFonts w:hint="eastAsia"/>
          <w:sz w:val="24"/>
          <w:szCs w:val="24"/>
        </w:rPr>
        <w:t>第１条　この規程は、一般社団法人富山県社会福祉士会権利擁護センターぱあとなあ富山の業務監査委員会（以下、「業務監査委員会」という。）の設置及び運営について必要</w:t>
      </w:r>
      <w:r w:rsidRPr="0078741D">
        <w:rPr>
          <w:rFonts w:hint="eastAsia"/>
          <w:sz w:val="24"/>
          <w:szCs w:val="24"/>
        </w:rPr>
        <w:t>な事項を定め、一般社団法人富山県社会福祉士会（以下、「本会」という。）が設置する権利擁護センターぱあとなあ富山の業務の適正化を図ることを目的とする。</w:t>
      </w:r>
    </w:p>
    <w:p w:rsidR="0078741D" w:rsidRPr="0078741D" w:rsidRDefault="0078741D" w:rsidP="0078741D">
      <w:pPr>
        <w:spacing w:line="320" w:lineRule="exact"/>
        <w:jc w:val="left"/>
        <w:rPr>
          <w:sz w:val="24"/>
          <w:szCs w:val="24"/>
        </w:rPr>
      </w:pPr>
    </w:p>
    <w:p w:rsidR="0078741D" w:rsidRPr="0078741D" w:rsidRDefault="0078741D" w:rsidP="0078741D">
      <w:pPr>
        <w:spacing w:line="320" w:lineRule="exact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（委員）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第２条　業務監査委員会には２名以上５名以下の業務監査委員（以下、「委員」という。）を置く。</w:t>
      </w:r>
    </w:p>
    <w:p w:rsidR="0078741D" w:rsidRPr="0078741D" w:rsidRDefault="0078741D" w:rsidP="0078741D">
      <w:pPr>
        <w:spacing w:line="320" w:lineRule="exact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２　委員は本会の会長（以下、「本会会長」という。）が選任する。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３　委員の２分の１以上は、弁護士等法律関係者、医療関係者、保健・福祉関係者、当事者団体等で構成する第三者委員とする。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（委員長）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第３条　委員長は委員の互選とする。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（任期）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第４条　委員の任期は２年とし、１回の再任を認める。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（庶務）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 w:rsidRPr="0078741D">
        <w:rPr>
          <w:rFonts w:hint="eastAsia"/>
          <w:sz w:val="24"/>
          <w:szCs w:val="24"/>
        </w:rPr>
        <w:t>第５条　業務監査委員会に関する庶務は、本会「権利擁護センターぱあとなあ富山」事務局で行う。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sz w:val="24"/>
          <w:szCs w:val="24"/>
        </w:rPr>
      </w:pP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78741D">
        <w:rPr>
          <w:rFonts w:hint="eastAsia"/>
          <w:sz w:val="24"/>
          <w:szCs w:val="24"/>
        </w:rPr>
        <w:t>（業務）</w:t>
      </w:r>
    </w:p>
    <w:p w:rsidR="0078741D" w:rsidRPr="0078741D" w:rsidRDefault="0078741D" w:rsidP="0078741D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78741D">
        <w:rPr>
          <w:rFonts w:asciiTheme="minorEastAsia" w:hAnsiTheme="minorEastAsia" w:hint="eastAsia"/>
          <w:sz w:val="24"/>
          <w:szCs w:val="24"/>
        </w:rPr>
        <w:t>第６条　業務監査委員会は、以下の各号の業務を行う。</w:t>
      </w:r>
    </w:p>
    <w:p w:rsidR="0078741D" w:rsidRPr="0078741D" w:rsidRDefault="0078741D" w:rsidP="0078741D">
      <w:pPr>
        <w:spacing w:line="320" w:lineRule="exact"/>
        <w:ind w:left="960" w:hangingChars="400" w:hanging="960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hint="eastAsia"/>
          <w:sz w:val="24"/>
          <w:szCs w:val="24"/>
        </w:rPr>
        <w:t xml:space="preserve">（１）　</w:t>
      </w: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本会「権利擁護センターぱあとなあ富山」 名簿登録規程第11条第2項に関する業務</w:t>
      </w:r>
    </w:p>
    <w:p w:rsidR="0078741D" w:rsidRPr="0078741D" w:rsidRDefault="0078741D" w:rsidP="0078741D">
      <w:pPr>
        <w:spacing w:line="320" w:lineRule="exact"/>
        <w:ind w:left="960" w:hangingChars="400" w:hanging="960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hint="eastAsia"/>
          <w:sz w:val="24"/>
          <w:szCs w:val="24"/>
        </w:rPr>
        <w:t xml:space="preserve">（２）　</w:t>
      </w: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本会会長又は委員の求めに応じ随時の審査を実施すること</w:t>
      </w: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（３）　本会会長へ審査結果を報告すること</w:t>
      </w: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（４）　必要に応じて本会総会で審査結果を報告すること</w:t>
      </w: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（委任）</w:t>
      </w: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第７条　この規程に定めるもののほか、必要な事項は別に定める。</w:t>
      </w: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（改廃）</w:t>
      </w: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第８条　この規程を改廃するときは、理事会の承認を経なければならない。</w:t>
      </w:r>
    </w:p>
    <w:p w:rsidR="0078741D" w:rsidRPr="0078741D" w:rsidRDefault="0078741D" w:rsidP="0078741D">
      <w:pPr>
        <w:spacing w:line="320" w:lineRule="exact"/>
        <w:ind w:left="912" w:hangingChars="400" w:hanging="912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</w:p>
    <w:p w:rsidR="0078741D" w:rsidRPr="0078741D" w:rsidRDefault="0078741D" w:rsidP="0078741D">
      <w:pPr>
        <w:spacing w:line="320" w:lineRule="exact"/>
        <w:ind w:left="912" w:hangingChars="400" w:hanging="912"/>
        <w:jc w:val="center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附　　則</w:t>
      </w:r>
    </w:p>
    <w:p w:rsidR="0078741D" w:rsidRPr="0078741D" w:rsidRDefault="0078741D" w:rsidP="0078741D">
      <w:pPr>
        <w:spacing w:line="320" w:lineRule="exact"/>
        <w:ind w:leftChars="400" w:left="840" w:firstLineChars="300" w:firstLine="684"/>
        <w:jc w:val="left"/>
        <w:rPr>
          <w:rFonts w:asciiTheme="minorEastAsia" w:hAnsiTheme="minorEastAsia" w:cs="ＭＳ ゴシック"/>
          <w:spacing w:val="-6"/>
          <w:sz w:val="24"/>
          <w:szCs w:val="24"/>
        </w:rPr>
      </w:pPr>
      <w:r w:rsidRPr="0078741D">
        <w:rPr>
          <w:rFonts w:asciiTheme="minorEastAsia" w:hAnsiTheme="minorEastAsia" w:cs="ＭＳ ゴシック" w:hint="eastAsia"/>
          <w:spacing w:val="-6"/>
          <w:sz w:val="24"/>
          <w:szCs w:val="24"/>
        </w:rPr>
        <w:t>この規程は、２０１４年１月２６日から施行する。</w:t>
      </w:r>
    </w:p>
    <w:p w:rsidR="00B07A3A" w:rsidRPr="0078741D" w:rsidRDefault="00B07A3A" w:rsidP="0078741D"/>
    <w:sectPr w:rsidR="00B07A3A" w:rsidRPr="0078741D" w:rsidSect="0078741D"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1D" w:rsidRDefault="0078741D" w:rsidP="0078741D">
      <w:r>
        <w:separator/>
      </w:r>
    </w:p>
  </w:endnote>
  <w:endnote w:type="continuationSeparator" w:id="0">
    <w:p w:rsidR="0078741D" w:rsidRDefault="0078741D" w:rsidP="0078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1D" w:rsidRDefault="0078741D" w:rsidP="0078741D">
      <w:r>
        <w:separator/>
      </w:r>
    </w:p>
  </w:footnote>
  <w:footnote w:type="continuationSeparator" w:id="0">
    <w:p w:rsidR="0078741D" w:rsidRDefault="0078741D" w:rsidP="0078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DB"/>
    <w:rsid w:val="0078741D"/>
    <w:rsid w:val="00B07A3A"/>
    <w:rsid w:val="00C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41D"/>
  </w:style>
  <w:style w:type="paragraph" w:styleId="a5">
    <w:name w:val="footer"/>
    <w:basedOn w:val="a"/>
    <w:link w:val="a6"/>
    <w:uiPriority w:val="99"/>
    <w:unhideWhenUsed/>
    <w:rsid w:val="0078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41D"/>
  </w:style>
  <w:style w:type="paragraph" w:styleId="a5">
    <w:name w:val="footer"/>
    <w:basedOn w:val="a"/>
    <w:link w:val="a6"/>
    <w:uiPriority w:val="99"/>
    <w:unhideWhenUsed/>
    <w:rsid w:val="0078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sakai</cp:lastModifiedBy>
  <cp:revision>2</cp:revision>
  <dcterms:created xsi:type="dcterms:W3CDTF">2014-01-27T18:15:00Z</dcterms:created>
  <dcterms:modified xsi:type="dcterms:W3CDTF">2014-01-28T12:51:00Z</dcterms:modified>
</cp:coreProperties>
</file>